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0CEF3">
      <w:pPr>
        <w:spacing w:line="396"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val="en-US" w:eastAsia="zh-CN"/>
        </w:rPr>
        <w:t>济南鲍德冶金石灰石有限公司</w:t>
      </w: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6</w:t>
      </w:r>
      <w:r>
        <w:rPr>
          <w:rFonts w:hint="eastAsia" w:ascii="方正小标宋简体" w:hAnsi="方正小标宋简体" w:eastAsia="方正小标宋简体" w:cs="方正小标宋简体"/>
          <w:color w:val="000000"/>
          <w:sz w:val="44"/>
          <w:szCs w:val="44"/>
        </w:rPr>
        <w:t>年度</w:t>
      </w:r>
    </w:p>
    <w:p w14:paraId="518633F7">
      <w:pPr>
        <w:spacing w:line="396" w:lineRule="auto"/>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避雷设施检测</w:t>
      </w:r>
      <w:r>
        <w:rPr>
          <w:rFonts w:hint="eastAsia" w:ascii="方正小标宋简体" w:hAnsi="方正小标宋简体" w:eastAsia="方正小标宋简体" w:cs="方正小标宋简体"/>
          <w:color w:val="000000"/>
          <w:sz w:val="44"/>
          <w:szCs w:val="44"/>
          <w:lang w:val="en-US" w:eastAsia="zh-CN"/>
        </w:rPr>
        <w:t>服务</w:t>
      </w:r>
      <w:r>
        <w:rPr>
          <w:rFonts w:hint="eastAsia" w:ascii="方正小标宋简体" w:hAnsi="方正小标宋简体" w:eastAsia="方正小标宋简体" w:cs="方正小标宋简体"/>
          <w:color w:val="000000"/>
          <w:sz w:val="44"/>
          <w:szCs w:val="44"/>
        </w:rPr>
        <w:t>询比价公告</w:t>
      </w:r>
    </w:p>
    <w:p w14:paraId="675A4E66">
      <w:pPr>
        <w:spacing w:line="520" w:lineRule="exact"/>
        <w:ind w:firstLine="640" w:firstLineChars="200"/>
        <w:jc w:val="left"/>
        <w:rPr>
          <w:rFonts w:hint="eastAsia" w:ascii="仿宋_GB2312" w:hAnsi="仿宋_GB2312"/>
          <w:color w:val="000000"/>
          <w:sz w:val="32"/>
          <w:szCs w:val="32"/>
        </w:rPr>
      </w:pPr>
    </w:p>
    <w:p w14:paraId="73ECDAFB">
      <w:pPr>
        <w:numPr>
          <w:ilvl w:val="0"/>
          <w:numId w:val="1"/>
        </w:numPr>
        <w:spacing w:line="520" w:lineRule="exact"/>
        <w:ind w:left="210" w:leftChars="100" w:firstLine="320" w:firstLineChars="1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询价名称：202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年度避雷设施检测</w:t>
      </w:r>
      <w:r>
        <w:rPr>
          <w:rFonts w:hint="eastAsia" w:ascii="仿宋_GB2312" w:hAnsi="仿宋_GB2312" w:eastAsia="仿宋_GB2312" w:cs="仿宋_GB2312"/>
          <w:color w:val="000000"/>
          <w:sz w:val="32"/>
          <w:szCs w:val="32"/>
          <w:lang w:val="en-US" w:eastAsia="zh-CN"/>
        </w:rPr>
        <w:t>服务询比价</w:t>
      </w:r>
    </w:p>
    <w:p w14:paraId="28A72BE9">
      <w:pPr>
        <w:numPr>
          <w:ilvl w:val="0"/>
          <w:numId w:val="1"/>
        </w:numPr>
        <w:spacing w:line="520" w:lineRule="exact"/>
        <w:ind w:left="210" w:leftChars="100" w:firstLine="320" w:firstLineChars="1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采购编号：1255260128002</w:t>
      </w:r>
      <w:bookmarkStart w:id="0" w:name="_GoBack"/>
      <w:bookmarkEnd w:id="0"/>
    </w:p>
    <w:p w14:paraId="080B9CD1">
      <w:pPr>
        <w:keepNext w:val="0"/>
        <w:keepLines w:val="0"/>
        <w:widowControl w:val="0"/>
        <w:numPr>
          <w:ilvl w:val="0"/>
          <w:numId w:val="1"/>
        </w:numPr>
        <w:suppressLineNumbers w:val="0"/>
        <w:autoSpaceDE w:val="0"/>
        <w:autoSpaceDN/>
        <w:spacing w:before="0" w:beforeAutospacing="0" w:after="0" w:afterAutospacing="0" w:line="560" w:lineRule="exact"/>
        <w:ind w:left="210" w:leftChars="100" w:right="0" w:firstLine="320" w:firstLineChars="100"/>
        <w:jc w:val="both"/>
        <w:rPr>
          <w:rFonts w:hint="eastAsia" w:ascii="仿宋_GB2312" w:hAnsi="Times New Roman" w:eastAsia="仿宋_GB2312" w:cs="仿宋_GB2312"/>
          <w:kern w:val="2"/>
          <w:sz w:val="32"/>
          <w:szCs w:val="32"/>
          <w:lang w:val="en-US" w:eastAsia="zh-CN" w:bidi="ar"/>
        </w:rPr>
      </w:pPr>
      <w:r>
        <w:rPr>
          <w:rFonts w:hint="eastAsia" w:ascii="仿宋_GB2312" w:hAnsi="仿宋_GB2312" w:eastAsia="仿宋_GB2312" w:cs="仿宋_GB2312"/>
          <w:color w:val="000000"/>
          <w:sz w:val="32"/>
          <w:szCs w:val="32"/>
          <w:lang w:val="en-US" w:eastAsia="zh-CN"/>
        </w:rPr>
        <w:t>询价内容：</w:t>
      </w:r>
      <w:r>
        <w:rPr>
          <w:rFonts w:hint="eastAsia" w:ascii="仿宋_GB2312" w:hAnsi="Times New Roman" w:eastAsia="仿宋_GB2312" w:cs="仿宋_GB2312"/>
          <w:kern w:val="2"/>
          <w:sz w:val="32"/>
          <w:szCs w:val="32"/>
          <w:lang w:val="en-US" w:eastAsia="zh-CN" w:bidi="ar"/>
        </w:rPr>
        <w:t>根据《金属非金属矿山在用设备设施安全检测检验目录》（AQ/T 2075-2019）、《建筑物防雷设计规范》(GB50057-2010)、《建筑物防雷装置检测技术规范》(GB/T21431-2015)规范标准要求，建（构）筑物避雷设施每年雨季前需委托具有防雷装置检测资质的单位进行检测检验，出具检测报告。2026年度计划避雷设施检测单体共有10个：原矿仓封闭棚、颚破口西侧废旧仓库、半成品仓、40-80封闭厂房、18-40封闭厂房、原矿仓封闭、高钙粉厂房、配电室、采矿场应急发电系统、进出厂及原矿地磅、办公楼及箱式变压器，具体检测项目如下。</w:t>
      </w:r>
    </w:p>
    <w:tbl>
      <w:tblPr>
        <w:tblStyle w:val="2"/>
        <w:tblpPr w:leftFromText="180" w:rightFromText="180" w:vertAnchor="text" w:horzAnchor="page" w:tblpX="2201" w:tblpY="720"/>
        <w:tblOverlap w:val="never"/>
        <w:tblW w:w="69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2416"/>
        <w:gridCol w:w="985"/>
        <w:gridCol w:w="776"/>
        <w:gridCol w:w="760"/>
        <w:gridCol w:w="1234"/>
      </w:tblGrid>
      <w:tr w14:paraId="687062B3">
        <w:tblPrEx>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EDA4">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序号</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1C56A93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单体名称</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6D8C805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长/m</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15D3256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宽/m</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235F212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高/m</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59E2743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防雷级别</w:t>
            </w:r>
          </w:p>
        </w:tc>
      </w:tr>
      <w:tr w14:paraId="37C1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DA2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209404E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办公楼及箱式变压器</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5C46D48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35</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6688C71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11</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00A48B14">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17.5</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794BA0B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46763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1C0E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2</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24B7D32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半成品仓</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44BF5E4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50</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03AC391C">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50</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0510111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40</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385BF5C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21472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3B6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230DC98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40-70封闭厂房</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6AA0CFA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90</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2760D50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66</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25DC1F8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19</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1515CFE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41EB3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7EC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0F7B8CF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18-40封闭厂房</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37C1D43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78</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5729575F">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30</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58FC98D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0F31CEE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696D2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226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0EBB485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颚破封闭厂房</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3146FC85">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15</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663A57C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2BE9DEE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4D7EB86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6422D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32E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7C81E23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高钙粉厂房</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23C843A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51</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29995661">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40</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6F705BA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11</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2EE51C7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5431D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559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7</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63734F4C">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采矿场应急发电系统</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0262711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34FB378C">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3519F1D9">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7D88F22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70E37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26B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8</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4167E56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颚破口西侧废旧仓库</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3EDB8B70">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29</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3BD825F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70BF696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6</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3557B05A">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09CB8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C677">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9</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014D9056">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配电室</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273D16AC">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18</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69ED0F71">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8</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233086AE">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5</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0DF16A8B">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r w14:paraId="0449B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E33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10</w:t>
            </w:r>
          </w:p>
        </w:tc>
        <w:tc>
          <w:tcPr>
            <w:tcW w:w="2416" w:type="dxa"/>
            <w:tcBorders>
              <w:top w:val="single" w:color="000000" w:sz="4" w:space="0"/>
              <w:left w:val="nil"/>
              <w:bottom w:val="single" w:color="000000" w:sz="4" w:space="0"/>
              <w:right w:val="single" w:color="000000" w:sz="4" w:space="0"/>
            </w:tcBorders>
            <w:shd w:val="clear" w:color="auto" w:fill="auto"/>
            <w:noWrap/>
            <w:vAlign w:val="center"/>
          </w:tcPr>
          <w:p w14:paraId="77EFFC63">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进出厂及原矿地磅</w:t>
            </w:r>
          </w:p>
        </w:tc>
        <w:tc>
          <w:tcPr>
            <w:tcW w:w="985" w:type="dxa"/>
            <w:tcBorders>
              <w:top w:val="single" w:color="000000" w:sz="4" w:space="0"/>
              <w:left w:val="nil"/>
              <w:bottom w:val="single" w:color="000000" w:sz="4" w:space="0"/>
              <w:right w:val="single" w:color="000000" w:sz="4" w:space="0"/>
            </w:tcBorders>
            <w:shd w:val="clear" w:color="auto" w:fill="auto"/>
            <w:noWrap/>
            <w:vAlign w:val="center"/>
          </w:tcPr>
          <w:p w14:paraId="353AA4EC">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18</w:t>
            </w:r>
          </w:p>
        </w:tc>
        <w:tc>
          <w:tcPr>
            <w:tcW w:w="776" w:type="dxa"/>
            <w:tcBorders>
              <w:top w:val="single" w:color="000000" w:sz="4" w:space="0"/>
              <w:left w:val="nil"/>
              <w:bottom w:val="single" w:color="000000" w:sz="4" w:space="0"/>
              <w:right w:val="single" w:color="000000" w:sz="4" w:space="0"/>
            </w:tcBorders>
            <w:shd w:val="clear" w:color="auto" w:fill="auto"/>
            <w:noWrap/>
            <w:vAlign w:val="center"/>
          </w:tcPr>
          <w:p w14:paraId="5F991D78">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3.2</w:t>
            </w:r>
          </w:p>
        </w:tc>
        <w:tc>
          <w:tcPr>
            <w:tcW w:w="760" w:type="dxa"/>
            <w:tcBorders>
              <w:top w:val="single" w:color="000000" w:sz="4" w:space="0"/>
              <w:left w:val="nil"/>
              <w:bottom w:val="single" w:color="000000" w:sz="4" w:space="0"/>
              <w:right w:val="single" w:color="000000" w:sz="4" w:space="0"/>
            </w:tcBorders>
            <w:shd w:val="clear" w:color="auto" w:fill="auto"/>
            <w:noWrap/>
            <w:vAlign w:val="center"/>
          </w:tcPr>
          <w:p w14:paraId="1B42B43D">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0.5</w:t>
            </w:r>
          </w:p>
        </w:tc>
        <w:tc>
          <w:tcPr>
            <w:tcW w:w="1234" w:type="dxa"/>
            <w:tcBorders>
              <w:top w:val="single" w:color="000000" w:sz="4" w:space="0"/>
              <w:left w:val="nil"/>
              <w:bottom w:val="single" w:color="000000" w:sz="4" w:space="0"/>
              <w:right w:val="single" w:color="000000" w:sz="4" w:space="0"/>
            </w:tcBorders>
            <w:shd w:val="clear" w:color="auto" w:fill="auto"/>
            <w:noWrap/>
            <w:vAlign w:val="center"/>
          </w:tcPr>
          <w:p w14:paraId="25CFAA22">
            <w:pPr>
              <w:keepNext w:val="0"/>
              <w:keepLines w:val="0"/>
              <w:widowControl w:val="0"/>
              <w:suppressLineNumbers w:val="0"/>
              <w:spacing w:before="0" w:beforeAutospacing="0" w:after="0" w:afterAutospacing="0" w:line="360" w:lineRule="auto"/>
              <w:ind w:left="0" w:leftChars="0" w:right="0" w:firstLine="0" w:firstLineChars="0"/>
              <w:jc w:val="center"/>
              <w:rPr>
                <w:rFonts w:hint="eastAsia" w:ascii="仿宋" w:hAnsi="仿宋" w:eastAsia="仿宋" w:cs="仿宋"/>
                <w:b w:val="0"/>
                <w:bCs w:val="0"/>
                <w:kern w:val="2"/>
                <w:sz w:val="24"/>
                <w:szCs w:val="24"/>
              </w:rPr>
            </w:pPr>
            <w:r>
              <w:rPr>
                <w:rFonts w:hint="eastAsia" w:ascii="仿宋" w:hAnsi="仿宋" w:eastAsia="仿宋" w:cs="仿宋"/>
                <w:b w:val="0"/>
                <w:bCs w:val="0"/>
                <w:kern w:val="2"/>
                <w:sz w:val="24"/>
                <w:szCs w:val="24"/>
                <w:lang w:val="en-US" w:eastAsia="zh-CN" w:bidi="ar"/>
              </w:rPr>
              <w:t>三类</w:t>
            </w:r>
          </w:p>
        </w:tc>
      </w:tr>
    </w:tbl>
    <w:p w14:paraId="48FA45A7">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eastAsia" w:ascii="仿宋_GB2312" w:hAnsi="Times New Roman" w:eastAsia="仿宋_GB2312" w:cs="仿宋_GB2312"/>
          <w:kern w:val="2"/>
          <w:sz w:val="32"/>
          <w:szCs w:val="32"/>
          <w:lang w:val="en-US" w:eastAsia="zh-CN" w:bidi="ar"/>
        </w:rPr>
      </w:pPr>
    </w:p>
    <w:p w14:paraId="74CE1805">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eastAsia" w:ascii="仿宋_GB2312" w:hAnsi="Times New Roman" w:eastAsia="仿宋_GB2312" w:cs="仿宋_GB2312"/>
          <w:kern w:val="2"/>
          <w:sz w:val="32"/>
          <w:szCs w:val="32"/>
          <w:lang w:val="en-US" w:eastAsia="zh-CN" w:bidi="ar"/>
        </w:rPr>
      </w:pPr>
    </w:p>
    <w:p w14:paraId="50E8312D">
      <w:pPr>
        <w:keepNext w:val="0"/>
        <w:keepLines w:val="0"/>
        <w:widowControl w:val="0"/>
        <w:numPr>
          <w:ilvl w:val="0"/>
          <w:numId w:val="0"/>
        </w:numPr>
        <w:suppressLineNumbers w:val="0"/>
        <w:autoSpaceDE w:val="0"/>
        <w:autoSpaceDN/>
        <w:spacing w:before="0" w:beforeAutospacing="0" w:after="0" w:afterAutospacing="0" w:line="560" w:lineRule="exact"/>
        <w:ind w:right="0" w:rightChars="0"/>
        <w:jc w:val="both"/>
        <w:rPr>
          <w:rFonts w:hint="eastAsia" w:ascii="仿宋_GB2312" w:hAnsi="Times New Roman" w:eastAsia="仿宋_GB2312" w:cs="仿宋_GB2312"/>
          <w:kern w:val="2"/>
          <w:sz w:val="32"/>
          <w:szCs w:val="32"/>
          <w:lang w:val="en-US" w:eastAsia="zh-CN" w:bidi="ar"/>
        </w:rPr>
      </w:pPr>
    </w:p>
    <w:p w14:paraId="75B45F70">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四、需求地点：济南鲍德冶金石灰石有限公司</w:t>
      </w:r>
    </w:p>
    <w:p w14:paraId="3FA0BA80">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五、结算方式:开具增值税专用发票(含税6%)，电汇支付，到厂价。</w:t>
      </w:r>
    </w:p>
    <w:p w14:paraId="312C5E12">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六、资格要求</w:t>
      </w:r>
    </w:p>
    <w:p w14:paraId="795894C2">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1、依法成立，具有法人资格和一般纳税人资格；</w:t>
      </w:r>
    </w:p>
    <w:p w14:paraId="03A998F1">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2、具有良好的企业信誉和健全的财务会计制度；</w:t>
      </w:r>
    </w:p>
    <w:p w14:paraId="2486E70F">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3、具有履行合同必需的设备、专业技术、资质能力；</w:t>
      </w:r>
    </w:p>
    <w:p w14:paraId="7ED5189B">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4、有依法缴纳税收和社会保障金的良好纪录；</w:t>
      </w:r>
    </w:p>
    <w:p w14:paraId="659765D0">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5、在经营活动中没有违法记录；</w:t>
      </w:r>
    </w:p>
    <w:p w14:paraId="359B5E9E">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七、报价方式及时间</w:t>
      </w:r>
    </w:p>
    <w:p w14:paraId="3C26BFE4">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公告时间：2026年1月28日-2026年1月30日 </w:t>
      </w:r>
    </w:p>
    <w:p w14:paraId="2F6C4F05">
      <w:pPr>
        <w:numPr>
          <w:ilvl w:val="0"/>
          <w:numId w:val="0"/>
        </w:numPr>
        <w:spacing w:line="520" w:lineRule="exact"/>
        <w:ind w:leftChars="200" w:firstLine="320" w:firstLineChars="1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开标时间：2026年2月2日上午8:30时</w:t>
      </w:r>
    </w:p>
    <w:p w14:paraId="7FAB4898">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登录www.jigang.com.cn—济钢集团有限公司阳光购销平台或 bidding.jigang.com.cn (网上报名)；使用指南可在网站首页“帮助中心”下载。</w:t>
      </w:r>
    </w:p>
    <w:p w14:paraId="3D04354B">
      <w:pPr>
        <w:numPr>
          <w:ilvl w:val="0"/>
          <w:numId w:val="0"/>
        </w:numPr>
        <w:spacing w:line="520" w:lineRule="exact"/>
        <w:ind w:firstLine="640" w:firstLine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请贵单位于2026年2月2日上午8：30之前将询价函、营业执照、法人身份证、委托代理人身份证、委托授权书、原件及复印件。提供在国家企业信用信息公示系统网络、企查查、天眼等信息平台上能够查找到贵公司的高管人员（截图）。上交济南鲍德冶金石灰石有限公司招标室207</w:t>
      </w:r>
    </w:p>
    <w:p w14:paraId="1D75AAC4">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需方组织询比价联系人：郑工，电话：15098838165</w:t>
      </w:r>
    </w:p>
    <w:p w14:paraId="1A39737E">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需方业务联系人：李工，电话：18863091802 </w:t>
      </w:r>
    </w:p>
    <w:p w14:paraId="33062AF3">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4CF42632">
      <w:pPr>
        <w:numPr>
          <w:ilvl w:val="0"/>
          <w:numId w:val="0"/>
        </w:numPr>
        <w:spacing w:line="520" w:lineRule="exact"/>
        <w:ind w:leftChars="200" w:firstLine="3200" w:firstLineChars="100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济南鲍德冶金石灰石有限公司</w:t>
      </w:r>
    </w:p>
    <w:p w14:paraId="083833D5">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2026年1月28日       </w:t>
      </w:r>
    </w:p>
    <w:p w14:paraId="13309458">
      <w:pPr>
        <w:numPr>
          <w:ilvl w:val="0"/>
          <w:numId w:val="0"/>
        </w:numPr>
        <w:spacing w:line="520" w:lineRule="exact"/>
        <w:ind w:leftChars="200"/>
        <w:jc w:val="left"/>
        <w:rPr>
          <w:rFonts w:hint="eastAsia" w:ascii="仿宋_GB2312" w:hAnsi="仿宋_GB2312" w:eastAsia="仿宋_GB2312" w:cs="仿宋_GB2312"/>
          <w:color w:val="000000"/>
          <w:sz w:val="32"/>
          <w:szCs w:val="32"/>
          <w:lang w:val="en-US" w:eastAsia="zh-CN"/>
        </w:rPr>
      </w:pPr>
    </w:p>
    <w:p w14:paraId="3D45FBF9"/>
    <w:p w14:paraId="268DD95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1A452B"/>
    <w:multiLevelType w:val="singleLevel"/>
    <w:tmpl w:val="251A452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4120F"/>
    <w:rsid w:val="1A5677F7"/>
    <w:rsid w:val="2D984C33"/>
    <w:rsid w:val="6FD4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836</Words>
  <Characters>1013</Characters>
  <Lines>0</Lines>
  <Paragraphs>0</Paragraphs>
  <TotalTime>14</TotalTime>
  <ScaleCrop>false</ScaleCrop>
  <LinksUpToDate>false</LinksUpToDate>
  <CharactersWithSpaces>1049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2026-01-27T23:58:00Z</dcterms:created>
  <dc:creator>换个名字吧</dc:creator>
  <cp:lastModifiedBy>换个名字吧</cp:lastModifiedBy>
  <dcterms:modified xsi:type="dcterms:W3CDTF">2026-01-28T01:45:35Z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17C2224835644BB3A5BCA05FFA3FB535_11</vt:lpwstr>
  </property>
  <property fmtid="{D5CDD505-2E9C-101B-9397-08002B2CF9AE}" pid="4" name="KSOTemplateDocerSaveRecord">
    <vt:lpwstr>eyJoZGlkIjoiNjU1ZDBhZGYzNGE2NTBkYzJjZDhiNGY0OWI1NmQ1ZmQiLCJ1c2VySWQiOiI3MzAxOTgwNzUifQ==</vt:lpwstr>
  </property>
</Properties>
</file>